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59" w:lineRule="auto"/>
        <w:jc w:val="center"/>
      </w:pPr>
      <w:r>
        <w:rPr>
          <w:rFonts w:ascii="Arial" w:hAnsi="Arial"/>
          <w:b/>
          <w:i w:val="0"/>
          <w:sz w:val="36"/>
        </w:rPr>
        <w:t>VŠEOBECNÉ OBCHODNÍ PODMÍNKY</w:t>
      </w:r>
    </w:p>
    <w:p>
      <w:pPr>
        <w:spacing w:after="40" w:line="259" w:lineRule="auto"/>
        <w:jc w:val="center"/>
      </w:pPr>
      <w:r>
        <w:rPr>
          <w:rFonts w:ascii="Arial" w:hAnsi="Arial"/>
          <w:b w:val="0"/>
          <w:i w:val="0"/>
          <w:sz w:val="22"/>
        </w:rPr>
        <w:t>pro poskytování vzdělávacích, poradenských, eventových a zážitkových služeb</w:t>
      </w:r>
    </w:p>
    <w:p>
      <w:pPr>
        <w:spacing w:after="40" w:line="259" w:lineRule="auto"/>
        <w:jc w:val="center"/>
      </w:pPr>
      <w:r>
        <w:rPr>
          <w:rFonts w:ascii="Arial" w:hAnsi="Arial"/>
          <w:b/>
          <w:i w:val="0"/>
          <w:sz w:val="22"/>
        </w:rPr>
        <w:t>DMC11 Group s.r.o.</w:t>
      </w:r>
    </w:p>
    <w:p>
      <w:pPr>
        <w:spacing w:after="200" w:line="259" w:lineRule="auto"/>
        <w:jc w:val="center"/>
      </w:pPr>
      <w:r>
        <w:rPr>
          <w:rFonts w:ascii="Arial" w:hAnsi="Arial"/>
          <w:b w:val="0"/>
          <w:i w:val="0"/>
          <w:sz w:val="19"/>
        </w:rPr>
        <w:t>Účinné od 1. října 2026</w:t>
      </w:r>
    </w:p>
    <w:p>
      <w:pPr>
        <w:pStyle w:val="Heading1"/>
        <w:spacing w:before="200" w:after="100"/>
      </w:pPr>
      <w:r>
        <w:t>1. Základní ustanovení</w:t>
      </w:r>
    </w:p>
    <w:p>
      <w:pPr>
        <w:spacing w:after="100" w:line="259" w:lineRule="auto"/>
      </w:pPr>
      <w:r>
        <w:rPr>
          <w:rFonts w:ascii="Arial" w:hAnsi="Arial"/>
          <w:b w:val="0"/>
          <w:i w:val="0"/>
        </w:rPr>
        <w:t>1.1 Tyto všeobecné obchodní podmínky (dále jen „VOP“) upravují práva a povinnosti mezi společností DMC11 Group s.r.o. jako poskytovatelem služeb a zákazníkem při objednávání a poskytování vzdělávacích, poradenských, eventových, zážitkových, prezentačních, lektorských a souvisejících služeb.</w:t>
      </w:r>
    </w:p>
    <w:p>
      <w:pPr>
        <w:spacing w:after="100" w:line="259" w:lineRule="auto"/>
      </w:pPr>
      <w:r>
        <w:rPr>
          <w:rFonts w:ascii="Arial" w:hAnsi="Arial"/>
          <w:b w:val="0"/>
          <w:i w:val="0"/>
        </w:rPr>
        <w:t>1.2 Poskytovatelem je DMC11 Group s.r.o., se sídlem Kurzova 2222/16, Stodůlky, 155 00 Praha 13, IČO: 29496225, DIČ: CZ29496225, datová schránka: 2xvjpve, zapsaná u Městského soudu v Praze, spisová značka C 447496/MSPH, plátce DPH (dále jen „Poskytovatel“).</w:t>
      </w:r>
    </w:p>
    <w:p>
      <w:pPr>
        <w:spacing w:after="100" w:line="259" w:lineRule="auto"/>
      </w:pPr>
      <w:r>
        <w:rPr>
          <w:rFonts w:ascii="Arial" w:hAnsi="Arial"/>
          <w:b w:val="0"/>
          <w:i w:val="0"/>
        </w:rPr>
        <w:t>1.3 Kontaktní e-mail Poskytovatele je boarding@fncaviation.com.</w:t>
      </w:r>
    </w:p>
    <w:p>
      <w:pPr>
        <w:spacing w:after="100" w:line="259" w:lineRule="auto"/>
      </w:pPr>
      <w:r>
        <w:rPr>
          <w:rFonts w:ascii="Arial" w:hAnsi="Arial"/>
          <w:b w:val="0"/>
          <w:i w:val="0"/>
        </w:rPr>
        <w:t>1.4 Zákazníkem může být právnická osoba, podnikající fyzická osoba nebo spotřebitel. Ustanovení těchto VOP, která se vztahují výhradně na spotřebitele, se použijí pouze tehdy, jedná-li Zákazník mimo rámec své podnikatelské činnosti nebo samostatného výkonu povolání.</w:t>
      </w:r>
    </w:p>
    <w:p>
      <w:pPr>
        <w:spacing w:after="100" w:line="259" w:lineRule="auto"/>
      </w:pPr>
      <w:r>
        <w:rPr>
          <w:rFonts w:ascii="Arial" w:hAnsi="Arial"/>
          <w:b w:val="0"/>
          <w:i w:val="0"/>
        </w:rPr>
        <w:t>1.5 Individuální nabídka, potvrzená objednávka, smlouva nebo jiné písemné ujednání mezi Poskytovatelem a Zákazníkem má přednost před těmito VOP.</w:t>
      </w:r>
    </w:p>
    <w:p>
      <w:pPr>
        <w:pStyle w:val="Heading1"/>
        <w:spacing w:before="200" w:after="100"/>
      </w:pPr>
      <w:r>
        <w:t>2. Rozsah služeb</w:t>
      </w:r>
    </w:p>
    <w:p>
      <w:pPr>
        <w:spacing w:after="100" w:line="259" w:lineRule="auto"/>
      </w:pPr>
      <w:r>
        <w:rPr>
          <w:rFonts w:ascii="Arial" w:hAnsi="Arial"/>
          <w:b w:val="0"/>
          <w:i w:val="0"/>
        </w:rPr>
        <w:t>2.1 Poskytovatel zajišťuje zejména školení, workshopy, přednášky, firemní programy, individuální programy, konzultace, eventy, zážitkové a simulační aktivity, programy realizované u Zákazníka a další služby podle konkrétní nabídky.</w:t>
      </w:r>
    </w:p>
    <w:p>
      <w:pPr>
        <w:spacing w:after="100" w:line="259" w:lineRule="auto"/>
      </w:pPr>
      <w:r>
        <w:rPr>
          <w:rFonts w:ascii="Arial" w:hAnsi="Arial"/>
          <w:b w:val="0"/>
          <w:i w:val="0"/>
        </w:rPr>
        <w:t>2.2 Součástí některých služeb může být využití prostor, simulátorů, výcvikových zařízení, technologií, dopravy, cateringu nebo jiného plnění třetích osob.</w:t>
      </w:r>
    </w:p>
    <w:p>
      <w:pPr>
        <w:spacing w:after="100" w:line="259" w:lineRule="auto"/>
      </w:pPr>
      <w:r>
        <w:rPr>
          <w:rFonts w:ascii="Arial" w:hAnsi="Arial"/>
          <w:b w:val="0"/>
          <w:i w:val="0"/>
        </w:rPr>
        <w:t>2.3 Přesný obsah, místo, termín, rozsah, počet účastníků, cena a další parametry konkrétní služby jsou určeny v nabídce, objednávce, smlouvě nebo potvrzení Poskytovatele.</w:t>
      </w:r>
    </w:p>
    <w:p>
      <w:pPr>
        <w:spacing w:after="100" w:line="259" w:lineRule="auto"/>
      </w:pPr>
      <w:r>
        <w:rPr>
          <w:rFonts w:ascii="Arial" w:hAnsi="Arial"/>
          <w:b w:val="0"/>
          <w:i w:val="0"/>
        </w:rPr>
        <w:t>2.4 Není-li výslovně uvedeno jinak, služby nejsou odborným výcvikem vedoucím k získání leteckého oprávnění, licence, typové kvalifikace ani jiného veřejnoprávního osvědčení.</w:t>
      </w:r>
    </w:p>
    <w:p>
      <w:pPr>
        <w:pStyle w:val="Heading1"/>
        <w:spacing w:before="200" w:after="100"/>
      </w:pPr>
      <w:r>
        <w:t>3. Objednávka a vznik smlouvy</w:t>
      </w:r>
    </w:p>
    <w:p>
      <w:pPr>
        <w:spacing w:after="100" w:line="259" w:lineRule="auto"/>
      </w:pPr>
      <w:r>
        <w:rPr>
          <w:rFonts w:ascii="Arial" w:hAnsi="Arial"/>
          <w:b w:val="0"/>
          <w:i w:val="0"/>
        </w:rPr>
        <w:t>3.1 Poptávka Zákazníka není sama o sobě uzavřením smlouvy.</w:t>
      </w:r>
    </w:p>
    <w:p>
      <w:pPr>
        <w:spacing w:after="100" w:line="259" w:lineRule="auto"/>
      </w:pPr>
      <w:r>
        <w:rPr>
          <w:rFonts w:ascii="Arial" w:hAnsi="Arial"/>
          <w:b w:val="0"/>
          <w:i w:val="0"/>
        </w:rPr>
        <w:t>3.2 Smlouva vzniká písemným potvrzením nabídky nebo objednávky Poskytovatelem, podpisem samostatné smlouvy, případně úhradou zálohy nebo ceny, pokud z nabídky vyplývá, že úhrada představuje přijetí nabídky.</w:t>
      </w:r>
    </w:p>
    <w:p>
      <w:pPr>
        <w:spacing w:after="100" w:line="259" w:lineRule="auto"/>
      </w:pPr>
      <w:r>
        <w:rPr>
          <w:rFonts w:ascii="Arial" w:hAnsi="Arial"/>
          <w:b w:val="0"/>
          <w:i w:val="0"/>
        </w:rPr>
        <w:t>3.3 Poskytovatel je oprávněn před potvrzením objednávky požadovat doplnění údajů potřebných k řádnému zajištění služby, zejména počet účastníků, místo realizace, organizační požadavky nebo bezpečnostní informace.</w:t>
      </w:r>
    </w:p>
    <w:p>
      <w:pPr>
        <w:spacing w:after="100" w:line="259" w:lineRule="auto"/>
      </w:pPr>
      <w:r>
        <w:rPr>
          <w:rFonts w:ascii="Arial" w:hAnsi="Arial"/>
          <w:b w:val="0"/>
          <w:i w:val="0"/>
        </w:rPr>
        <w:t>3.4 Osoba objednávající službu za právnickou osobu nebo jinou organizaci prohlašuje, že je oprávněna za tuto osobu jednat nebo objednávku učinit.</w:t>
      </w:r>
    </w:p>
    <w:p>
      <w:pPr>
        <w:pStyle w:val="Heading1"/>
        <w:spacing w:before="200" w:after="100"/>
      </w:pPr>
      <w:r>
        <w:t>4. Cena a platební podmínky</w:t>
      </w:r>
    </w:p>
    <w:p>
      <w:pPr>
        <w:spacing w:after="100" w:line="259" w:lineRule="auto"/>
      </w:pPr>
      <w:r>
        <w:rPr>
          <w:rFonts w:ascii="Arial" w:hAnsi="Arial"/>
          <w:b w:val="0"/>
          <w:i w:val="0"/>
        </w:rPr>
        <w:t>4.1 Cena je stanovena individuální nabídkou, ceníkem, objednávkou nebo smlouvou. Není-li uvedeno jinak, ceny jsou uváděny bez DPH a DPH bude připočtena v zákonné výši.</w:t>
      </w:r>
    </w:p>
    <w:p>
      <w:pPr>
        <w:spacing w:after="100" w:line="259" w:lineRule="auto"/>
      </w:pPr>
      <w:r>
        <w:rPr>
          <w:rFonts w:ascii="Arial" w:hAnsi="Arial"/>
          <w:b w:val="0"/>
          <w:i w:val="0"/>
        </w:rPr>
        <w:t>4.2 Není-li v konkrétní nabídce sjednáno jinak, Poskytovatel je oprávněn požadovat rezervační zálohu ve výši 50 % ceny služby. Doplatek je splatný nejpozději 10 kalendářních dnů před sjednaným termínem služby.</w:t>
      </w:r>
    </w:p>
    <w:p>
      <w:pPr>
        <w:spacing w:after="100" w:line="259" w:lineRule="auto"/>
      </w:pPr>
      <w:r>
        <w:rPr>
          <w:rFonts w:ascii="Arial" w:hAnsi="Arial"/>
          <w:b w:val="0"/>
          <w:i w:val="0"/>
        </w:rPr>
        <w:t>4.3 Je-li služba objednána méně než 10 kalendářních dnů před termínem realizace, je Poskytovatel oprávněn požadovat úhradu celé ceny bezodkladně po potvrzení objednávky.</w:t>
      </w:r>
    </w:p>
    <w:p>
      <w:pPr>
        <w:spacing w:after="100" w:line="259" w:lineRule="auto"/>
      </w:pPr>
      <w:r>
        <w:rPr>
          <w:rFonts w:ascii="Arial" w:hAnsi="Arial"/>
          <w:b w:val="0"/>
          <w:i w:val="0"/>
        </w:rPr>
        <w:t>4.4 U otevřených akcí, individuálních rezervací, eventů nebo služeb s nižší jednotkovou cenou může být požadována úhrada celé ceny předem.</w:t>
      </w:r>
    </w:p>
    <w:p>
      <w:pPr>
        <w:spacing w:after="100" w:line="259" w:lineRule="auto"/>
      </w:pPr>
      <w:r>
        <w:rPr>
          <w:rFonts w:ascii="Arial" w:hAnsi="Arial"/>
          <w:b w:val="0"/>
          <w:i w:val="0"/>
        </w:rPr>
        <w:t>4.5 Je-li pro realizaci služby nutné předem rezervovat a uhradit služby třetích osob, zejména simulátor, výcvikové zařízení, prostory, dopravu, ubytování nebo catering, může Poskytovatel požadovat zálohu odpovídající až 100 % těchto předpokládaných nevratných nákladů.</w:t>
      </w:r>
    </w:p>
    <w:p>
      <w:pPr>
        <w:spacing w:after="100" w:line="259" w:lineRule="auto"/>
      </w:pPr>
      <w:r>
        <w:rPr>
          <w:rFonts w:ascii="Arial" w:hAnsi="Arial"/>
          <w:b w:val="0"/>
          <w:i w:val="0"/>
        </w:rPr>
        <w:t>4.6 Poskytovatel není povinen zahájit plnění, pokud Zákazník neuhradil řádně a včas sjednanou zálohu nebo splatnou cenu.</w:t>
      </w:r>
    </w:p>
    <w:p>
      <w:pPr>
        <w:pStyle w:val="Heading1"/>
        <w:spacing w:before="200" w:after="100"/>
      </w:pPr>
      <w:r>
        <w:t>5. Storno podmínky ze strany Zákazníka</w:t>
      </w:r>
    </w:p>
    <w:p>
      <w:pPr>
        <w:spacing w:after="100" w:line="259" w:lineRule="auto"/>
      </w:pPr>
      <w:r>
        <w:rPr>
          <w:rFonts w:ascii="Arial" w:hAnsi="Arial"/>
          <w:b w:val="0"/>
          <w:i w:val="0"/>
        </w:rPr>
        <w:t>5.1 Zrušení objednané služby musí být provedeno písemně, zejména e-mailem na boarding@fncaviation.com. Rozhodující je okamžik doručení oznámení Poskytovateli.</w:t>
      </w:r>
    </w:p>
    <w:p>
      <w:pPr>
        <w:spacing w:after="100" w:line="259" w:lineRule="auto"/>
      </w:pPr>
      <w:r>
        <w:rPr>
          <w:rFonts w:ascii="Arial" w:hAnsi="Arial"/>
          <w:b w:val="0"/>
          <w:i w:val="0"/>
        </w:rPr>
        <w:t>5.2 Není-li v individuální nabídce nebo smlouvě stanoveno jinak, činí storno poplatek:</w:t>
      </w:r>
    </w:p>
    <w:tbl>
      <w:tblPr>
        <w:tblStyle w:val="TableGrid"/>
        <w:tblW w:type="auto" w:w="0"/>
        <w:jc w:val="center"/>
        <w:tblLook w:firstColumn="1" w:firstRow="1" w:lastColumn="0" w:lastRow="0" w:noHBand="0" w:noVBand="1" w:val="04A0"/>
      </w:tblPr>
      <w:tblGrid>
        <w:gridCol w:w="4816"/>
        <w:gridCol w:w="4816"/>
      </w:tblGrid>
      <w:tr>
        <w:tc>
          <w:tcPr>
            <w:tcW w:type="dxa" w:w="4816"/>
            <w:vAlign w:val="center"/>
          </w:tcPr>
          <w:p>
            <w:r>
              <w:rPr>
                <w:rFonts w:ascii="Arial" w:hAnsi="Arial"/>
                <w:b/>
                <w:sz w:val="20"/>
              </w:rPr>
              <w:t>Doba před sjednaným termínem</w:t>
            </w:r>
          </w:p>
        </w:tc>
        <w:tc>
          <w:tcPr>
            <w:tcW w:type="dxa" w:w="4816"/>
            <w:vAlign w:val="center"/>
          </w:tcPr>
          <w:p>
            <w:r>
              <w:rPr>
                <w:rFonts w:ascii="Arial" w:hAnsi="Arial"/>
                <w:b/>
                <w:sz w:val="20"/>
              </w:rPr>
              <w:t>Storno poplatek</w:t>
            </w:r>
          </w:p>
        </w:tc>
      </w:tr>
      <w:tr>
        <w:tc>
          <w:tcPr>
            <w:tcW w:type="dxa" w:w="4816"/>
            <w:vAlign w:val="center"/>
          </w:tcPr>
          <w:p>
            <w:r>
              <w:rPr>
                <w:rFonts w:ascii="Arial" w:hAnsi="Arial"/>
                <w:sz w:val="19"/>
              </w:rPr>
              <w:t>31 a více kalendářních dnů</w:t>
            </w:r>
          </w:p>
        </w:tc>
        <w:tc>
          <w:tcPr>
            <w:tcW w:type="dxa" w:w="4816"/>
            <w:vAlign w:val="center"/>
          </w:tcPr>
          <w:p>
            <w:r>
              <w:rPr>
                <w:rFonts w:ascii="Arial" w:hAnsi="Arial"/>
                <w:sz w:val="19"/>
              </w:rPr>
              <w:t>10 % z ceny zrušené služby</w:t>
            </w:r>
          </w:p>
        </w:tc>
      </w:tr>
      <w:tr>
        <w:tc>
          <w:tcPr>
            <w:tcW w:type="dxa" w:w="4816"/>
            <w:vAlign w:val="center"/>
          </w:tcPr>
          <w:p>
            <w:r>
              <w:rPr>
                <w:rFonts w:ascii="Arial" w:hAnsi="Arial"/>
                <w:sz w:val="19"/>
              </w:rPr>
              <w:t>15 až 30 kalendářních dnů</w:t>
            </w:r>
          </w:p>
        </w:tc>
        <w:tc>
          <w:tcPr>
            <w:tcW w:type="dxa" w:w="4816"/>
            <w:vAlign w:val="center"/>
          </w:tcPr>
          <w:p>
            <w:r>
              <w:rPr>
                <w:rFonts w:ascii="Arial" w:hAnsi="Arial"/>
                <w:sz w:val="19"/>
              </w:rPr>
              <w:t>30 % z ceny zrušené služby</w:t>
            </w:r>
          </w:p>
        </w:tc>
      </w:tr>
      <w:tr>
        <w:tc>
          <w:tcPr>
            <w:tcW w:type="dxa" w:w="4816"/>
            <w:vAlign w:val="center"/>
          </w:tcPr>
          <w:p>
            <w:r>
              <w:rPr>
                <w:rFonts w:ascii="Arial" w:hAnsi="Arial"/>
                <w:sz w:val="19"/>
              </w:rPr>
              <w:t>8 až 14 kalendářních dnů</w:t>
            </w:r>
          </w:p>
        </w:tc>
        <w:tc>
          <w:tcPr>
            <w:tcW w:type="dxa" w:w="4816"/>
            <w:vAlign w:val="center"/>
          </w:tcPr>
          <w:p>
            <w:r>
              <w:rPr>
                <w:rFonts w:ascii="Arial" w:hAnsi="Arial"/>
                <w:sz w:val="19"/>
              </w:rPr>
              <w:t>50 % z ceny zrušené služby</w:t>
            </w:r>
          </w:p>
        </w:tc>
      </w:tr>
      <w:tr>
        <w:tc>
          <w:tcPr>
            <w:tcW w:type="dxa" w:w="4816"/>
            <w:vAlign w:val="center"/>
          </w:tcPr>
          <w:p>
            <w:r>
              <w:rPr>
                <w:rFonts w:ascii="Arial" w:hAnsi="Arial"/>
                <w:sz w:val="19"/>
              </w:rPr>
              <w:t>3 až 7 kalendářních dnů</w:t>
            </w:r>
          </w:p>
        </w:tc>
        <w:tc>
          <w:tcPr>
            <w:tcW w:type="dxa" w:w="4816"/>
            <w:vAlign w:val="center"/>
          </w:tcPr>
          <w:p>
            <w:r>
              <w:rPr>
                <w:rFonts w:ascii="Arial" w:hAnsi="Arial"/>
                <w:sz w:val="19"/>
              </w:rPr>
              <w:t>75 % z ceny zrušené služby</w:t>
            </w:r>
          </w:p>
        </w:tc>
      </w:tr>
      <w:tr>
        <w:tc>
          <w:tcPr>
            <w:tcW w:type="dxa" w:w="4816"/>
            <w:vAlign w:val="center"/>
          </w:tcPr>
          <w:p>
            <w:r>
              <w:rPr>
                <w:rFonts w:ascii="Arial" w:hAnsi="Arial"/>
                <w:sz w:val="19"/>
              </w:rPr>
              <w:t>méně než 72 hodin nebo nedostavení se</w:t>
            </w:r>
          </w:p>
        </w:tc>
        <w:tc>
          <w:tcPr>
            <w:tcW w:type="dxa" w:w="4816"/>
            <w:vAlign w:val="center"/>
          </w:tcPr>
          <w:p>
            <w:r>
              <w:rPr>
                <w:rFonts w:ascii="Arial" w:hAnsi="Arial"/>
                <w:sz w:val="19"/>
              </w:rPr>
              <w:t>100 % z ceny zrušené služby</w:t>
            </w:r>
          </w:p>
        </w:tc>
      </w:tr>
    </w:tbl>
    <w:p>
      <w:pPr>
        <w:spacing w:after="100" w:line="259" w:lineRule="auto"/>
      </w:pPr>
      <w:r>
        <w:rPr>
          <w:rFonts w:ascii="Arial" w:hAnsi="Arial"/>
          <w:b w:val="0"/>
          <w:i w:val="0"/>
        </w:rPr>
        <w:t>5.3 Storno poplatek představuje náhradu za rezervovanou kapacitu, organizační a přípravné práce a náklady spojené se zrušením služby.</w:t>
      </w:r>
    </w:p>
    <w:p>
      <w:pPr>
        <w:spacing w:after="100" w:line="259" w:lineRule="auto"/>
      </w:pPr>
      <w:r>
        <w:rPr>
          <w:rFonts w:ascii="Arial" w:hAnsi="Arial"/>
          <w:b w:val="0"/>
          <w:i w:val="0"/>
        </w:rPr>
        <w:t>5.4 Pokud Poskytovateli v souvislosti se zrušením vzniknou prokazatelné nevratné náklady třetích osob, které převyšují storno poplatek podle čl. 5.2, je Zákazník povinen uhradit místo storno poplatku tyto skutečně vzniklé nevratné náklady, nejvýše však do celkové ceny zrušené služby, není-li v nabídce nebo smlouvě výslovně dohodnuto jinak.</w:t>
      </w:r>
    </w:p>
    <w:p>
      <w:pPr>
        <w:spacing w:after="100" w:line="259" w:lineRule="auto"/>
      </w:pPr>
      <w:r>
        <w:rPr>
          <w:rFonts w:ascii="Arial" w:hAnsi="Arial"/>
          <w:b w:val="0"/>
          <w:i w:val="0"/>
        </w:rPr>
        <w:t>5.5 Je-li cena sjednána jako pevná cena za tým, skupinu nebo celý program, snížení počtu účastníků nemá samo o sobě vliv na sjednanou cenu. Je-li cena sjednána za osobu, může být snížení počtu účastníků posouzeno jako částečné storno.</w:t>
      </w:r>
    </w:p>
    <w:p>
      <w:pPr>
        <w:spacing w:after="100" w:line="259" w:lineRule="auto"/>
      </w:pPr>
      <w:r>
        <w:rPr>
          <w:rFonts w:ascii="Arial" w:hAnsi="Arial"/>
          <w:b w:val="0"/>
          <w:i w:val="0"/>
        </w:rPr>
        <w:t>5.6 Zákazník může po dohodě s Poskytovatelem nahradit účastníka jinou osobou, pokud tomu nebrání bezpečnostní, organizační, registrační nebo jiné podmínky konkrétní služby.</w:t>
      </w:r>
    </w:p>
    <w:p>
      <w:pPr>
        <w:pStyle w:val="Heading1"/>
        <w:spacing w:before="200" w:after="100"/>
      </w:pPr>
      <w:r>
        <w:t>6. Změna termínu</w:t>
      </w:r>
    </w:p>
    <w:p>
      <w:pPr>
        <w:spacing w:after="100" w:line="259" w:lineRule="auto"/>
      </w:pPr>
      <w:r>
        <w:rPr>
          <w:rFonts w:ascii="Arial" w:hAnsi="Arial"/>
          <w:b w:val="0"/>
          <w:i w:val="0"/>
        </w:rPr>
        <w:t>6.1 Změna termínu je možná pouze po písemné dohodě s Poskytovatelem a s ohledem na dostupnost lektorů, pilotů, prostor, simulátorů, výcvikových zařízení a dalších kapacit.</w:t>
      </w:r>
    </w:p>
    <w:p>
      <w:pPr>
        <w:spacing w:after="100" w:line="259" w:lineRule="auto"/>
      </w:pPr>
      <w:r>
        <w:rPr>
          <w:rFonts w:ascii="Arial" w:hAnsi="Arial"/>
          <w:b w:val="0"/>
          <w:i w:val="0"/>
        </w:rPr>
        <w:t>6.2 Požádá-li Zákazník o změnu termínu více než 15 kalendářních dnů před původním termínem, může Poskytovatel jednorázově umožnit změnu bez administrativního poplatku. Zákazník však vždy hradí případné nevratné náklady třetích osob vzniklé v souvislosti se změnou.</w:t>
      </w:r>
    </w:p>
    <w:p>
      <w:pPr>
        <w:spacing w:after="100" w:line="259" w:lineRule="auto"/>
      </w:pPr>
      <w:r>
        <w:rPr>
          <w:rFonts w:ascii="Arial" w:hAnsi="Arial"/>
          <w:b w:val="0"/>
          <w:i w:val="0"/>
        </w:rPr>
        <w:t>6.3 Při žádosti o změnu termínu 15 a méně kalendářních dnů před realizací je Poskytovatel oprávněn změnu podmínit úhradou přiměřených nákladů a rezervačního poplatku. Žádost podaná méně než 72 hodin před realizací může být posouzena jako storno.</w:t>
      </w:r>
    </w:p>
    <w:p>
      <w:pPr>
        <w:spacing w:after="100" w:line="259" w:lineRule="auto"/>
      </w:pPr>
      <w:r>
        <w:rPr>
          <w:rFonts w:ascii="Arial" w:hAnsi="Arial"/>
          <w:b w:val="0"/>
          <w:i w:val="0"/>
        </w:rPr>
        <w:t>6.4 Nový termín musí být zpravidla využit do 6 měsíců od původního termínu, pokud se strany nedohodnou jinak.</w:t>
      </w:r>
    </w:p>
    <w:p>
      <w:pPr>
        <w:pStyle w:val="Heading1"/>
        <w:spacing w:before="200" w:after="100"/>
      </w:pPr>
      <w:r>
        <w:t>7. Firemní programy a realizace u Zákazníka</w:t>
      </w:r>
    </w:p>
    <w:p>
      <w:pPr>
        <w:spacing w:after="100" w:line="259" w:lineRule="auto"/>
      </w:pPr>
      <w:r>
        <w:rPr>
          <w:rFonts w:ascii="Arial" w:hAnsi="Arial"/>
          <w:b w:val="0"/>
          <w:i w:val="0"/>
        </w:rPr>
        <w:t>7.1 U služeb realizovaných v prostorách Zákazníka je Zákazník povinen zajistit vhodné, bezpečné a provozně způsobilé prostory, sjednanou techniku, přístup účastníků a další předem dohodnuté podmínky.</w:t>
      </w:r>
    </w:p>
    <w:p>
      <w:pPr>
        <w:spacing w:after="100" w:line="259" w:lineRule="auto"/>
      </w:pPr>
      <w:r>
        <w:rPr>
          <w:rFonts w:ascii="Arial" w:hAnsi="Arial"/>
          <w:b w:val="0"/>
          <w:i w:val="0"/>
        </w:rPr>
        <w:t>7.2 Pokud nelze službu realizovat z důvodů na straně Zákazníka, zejména z důvodu nepřipravených prostor, chybějící techniky, nemožnosti vstupu nebo nepřítomnosti účastníků, považuje se služba v odpovídajícím rozsahu za zrušenou ze strany Zákazníka.</w:t>
      </w:r>
    </w:p>
    <w:p>
      <w:pPr>
        <w:spacing w:after="100" w:line="259" w:lineRule="auto"/>
      </w:pPr>
      <w:r>
        <w:rPr>
          <w:rFonts w:ascii="Arial" w:hAnsi="Arial"/>
          <w:b w:val="0"/>
          <w:i w:val="0"/>
        </w:rPr>
        <w:t>7.3 Cestovní, ubytovací, přepravní, technické a jiné předem schválené náklady jsou součástí ceny nebo jsou účtovány samostatně podle nabídky.</w:t>
      </w:r>
    </w:p>
    <w:p>
      <w:pPr>
        <w:pStyle w:val="Heading1"/>
        <w:spacing w:before="200" w:after="100"/>
      </w:pPr>
      <w:r>
        <w:t>8. Simulátory, výcviková zařízení a plnění třetích osob</w:t>
      </w:r>
    </w:p>
    <w:p>
      <w:pPr>
        <w:spacing w:after="100" w:line="259" w:lineRule="auto"/>
      </w:pPr>
      <w:r>
        <w:rPr>
          <w:rFonts w:ascii="Arial" w:hAnsi="Arial"/>
          <w:b w:val="0"/>
          <w:i w:val="0"/>
        </w:rPr>
        <w:t>8.1 Některé služby jsou závislé na kapacitě a provozuschopnosti třetích osob a jejich zařízení. Poskytovatel proto nemůže zaručit konkrétní technické zařízení, typ simulátoru, lokaci, instruktora nebo přesný provozní čas, pokud to nebylo výslovně sjednáno jako podstatná podmínka služby.</w:t>
      </w:r>
    </w:p>
    <w:p>
      <w:pPr>
        <w:spacing w:after="100" w:line="259" w:lineRule="auto"/>
      </w:pPr>
      <w:r>
        <w:rPr>
          <w:rFonts w:ascii="Arial" w:hAnsi="Arial"/>
          <w:b w:val="0"/>
          <w:i w:val="0"/>
        </w:rPr>
        <w:t>8.2 Z bezpečnostních, technických, provozních nebo organizačních důvodů může dojít ke změně zařízení, programu, harmonogramu nebo instruktora. Poskytovatel se v takovém případě zavazuje nabídnout přiměřenou alternativu, náhradní termín nebo jiné řešení odpovídající povaze služby.</w:t>
      </w:r>
    </w:p>
    <w:p>
      <w:pPr>
        <w:spacing w:after="100" w:line="259" w:lineRule="auto"/>
      </w:pPr>
      <w:r>
        <w:rPr>
          <w:rFonts w:ascii="Arial" w:hAnsi="Arial"/>
          <w:b w:val="0"/>
          <w:i w:val="0"/>
        </w:rPr>
        <w:t>8.3 Pokud je realizace služby znemožněna provozní nebo technickou závadou třetí osoby bez zavinění Poskytovatele, strany přednostně sjednají náhradní termín. Není-li náhradní plnění možné, vrátí Poskytovatel část ceny odpovídající neposkytnutému plnění.</w:t>
      </w:r>
    </w:p>
    <w:p>
      <w:pPr>
        <w:spacing w:after="100" w:line="259" w:lineRule="auto"/>
      </w:pPr>
      <w:r>
        <w:rPr>
          <w:rFonts w:ascii="Arial" w:hAnsi="Arial"/>
          <w:b w:val="0"/>
          <w:i w:val="0"/>
        </w:rPr>
        <w:t>8.4 Prostory a zařízení třetích osob mohou podléhat jejich vlastním provozním, bezpečnostním a vstupním pravidlům, která jsou účastníci povinni respektovat.</w:t>
      </w:r>
    </w:p>
    <w:p>
      <w:pPr>
        <w:pStyle w:val="Heading1"/>
        <w:spacing w:before="200" w:after="100"/>
      </w:pPr>
      <w:r>
        <w:t>9. Změny na straně Poskytovatele</w:t>
      </w:r>
    </w:p>
    <w:p>
      <w:pPr>
        <w:spacing w:after="100" w:line="259" w:lineRule="auto"/>
      </w:pPr>
      <w:r>
        <w:rPr>
          <w:rFonts w:ascii="Arial" w:hAnsi="Arial"/>
          <w:b w:val="0"/>
          <w:i w:val="0"/>
        </w:rPr>
        <w:t>9.1 Poskytovatel je oprávněn z vážných odborných, provozních, bezpečnostních nebo osobních důvodů změnit lektora, pilota, moderátora, instruktora, pořadí částí programu nebo jiný organizační prvek, pokud tím podstatně nesníží hodnotu sjednané služby.</w:t>
      </w:r>
    </w:p>
    <w:p>
      <w:pPr>
        <w:spacing w:after="100" w:line="259" w:lineRule="auto"/>
      </w:pPr>
      <w:r>
        <w:rPr>
          <w:rFonts w:ascii="Arial" w:hAnsi="Arial"/>
          <w:b w:val="0"/>
          <w:i w:val="0"/>
        </w:rPr>
        <w:t>9.2 Je-li nutné službu zrušit z důvodů na straně Poskytovatele, nabídne Poskytovatel Zákazníkovi přednostně náhradní termín nebo přiměřené náhradní plnění. Pokud Zákazník náhradní řešení nepřijme, bude mu vrácena uhrazená cena za neposkytnuté plnění.</w:t>
      </w:r>
    </w:p>
    <w:p>
      <w:pPr>
        <w:spacing w:after="100" w:line="259" w:lineRule="auto"/>
      </w:pPr>
      <w:r>
        <w:rPr>
          <w:rFonts w:ascii="Arial" w:hAnsi="Arial"/>
          <w:b w:val="0"/>
          <w:i w:val="0"/>
        </w:rPr>
        <w:t>9.3 Poskytovatel neodpovídá za nemožnost plnění způsobenou mimořádnou, nepředvídatelnou a nepřekonatelnou překážkou nezávislou na jeho vůli. Strany se v takové situaci pokusí přednostně dohodnout na náhradním termínu nebo odpovídající úpravě plnění.</w:t>
      </w:r>
    </w:p>
    <w:p>
      <w:pPr>
        <w:pStyle w:val="Heading1"/>
        <w:spacing w:before="200" w:after="100"/>
      </w:pPr>
      <w:r>
        <w:t>10. Povinnosti účastníků a bezpečnost</w:t>
      </w:r>
    </w:p>
    <w:p>
      <w:pPr>
        <w:spacing w:after="100" w:line="259" w:lineRule="auto"/>
      </w:pPr>
      <w:r>
        <w:rPr>
          <w:rFonts w:ascii="Arial" w:hAnsi="Arial"/>
          <w:b w:val="0"/>
          <w:i w:val="0"/>
        </w:rPr>
        <w:t>10.1 Účastník je povinen dodržovat pokyny Poskytovatele, lektorů, instruktorů, pilotů, provozovatelů prostor a výcvikových zařízení, bezpečnostní pravidla a provozní řády.</w:t>
      </w:r>
    </w:p>
    <w:p>
      <w:pPr>
        <w:spacing w:after="100" w:line="259" w:lineRule="auto"/>
      </w:pPr>
      <w:r>
        <w:rPr>
          <w:rFonts w:ascii="Arial" w:hAnsi="Arial"/>
          <w:b w:val="0"/>
          <w:i w:val="0"/>
        </w:rPr>
        <w:t>10.2 Účastník nesmí být pod vlivem alkoholu, omamných nebo psychotropních látek ani ve stavu, který by mohl ohrozit jeho vlastní bezpečnost nebo bezpečnost dalších osob.</w:t>
      </w:r>
    </w:p>
    <w:p>
      <w:pPr>
        <w:spacing w:after="100" w:line="259" w:lineRule="auto"/>
      </w:pPr>
      <w:r>
        <w:rPr>
          <w:rFonts w:ascii="Arial" w:hAnsi="Arial"/>
          <w:b w:val="0"/>
          <w:i w:val="0"/>
        </w:rPr>
        <w:t>10.3 Poskytovatel nebo provozovatel zařízení je oprávněn odmítnout nebo ukončit účast osoby, která porušuje bezpečnostní pravidla, narušuje průběh programu nebo vytváří riziko pro osoby či majetek. V takovém případě nevzniká nárok na vrácení ceny v rozsahu, v němž byla nemožnost plnění způsobena jednáním účastníka.</w:t>
      </w:r>
    </w:p>
    <w:p>
      <w:pPr>
        <w:spacing w:after="100" w:line="259" w:lineRule="auto"/>
      </w:pPr>
      <w:r>
        <w:rPr>
          <w:rFonts w:ascii="Arial" w:hAnsi="Arial"/>
          <w:b w:val="0"/>
          <w:i w:val="0"/>
        </w:rPr>
        <w:t>10.4 Vyžaduje-li konkrétní aktivita zvláštní zdravotní, věkové, pohybové nebo jiné předpoklady, bude Zákazník o těchto podmínkách informován předem.</w:t>
      </w:r>
    </w:p>
    <w:p>
      <w:pPr>
        <w:pStyle w:val="Heading1"/>
        <w:spacing w:before="200" w:after="100"/>
      </w:pPr>
      <w:r>
        <w:t>11. Autorská práva, materiály a záznamy</w:t>
      </w:r>
    </w:p>
    <w:p>
      <w:pPr>
        <w:spacing w:after="100" w:line="259" w:lineRule="auto"/>
      </w:pPr>
      <w:r>
        <w:rPr>
          <w:rFonts w:ascii="Arial" w:hAnsi="Arial"/>
          <w:b w:val="0"/>
          <w:i w:val="0"/>
        </w:rPr>
        <w:t>11.1 Veškeré metodiky, prezentace, pracovní listy, scénáře, texty, videa, grafické materiály, know-how a další obsah poskytnutý v souvislosti se službou je chráněn příslušnými právními předpisy a může být použit pouze pro osobní nebo interní potřebu Zákazníka, není-li písemně dohodnuto jinak.</w:t>
      </w:r>
    </w:p>
    <w:p>
      <w:pPr>
        <w:spacing w:after="100" w:line="259" w:lineRule="auto"/>
      </w:pPr>
      <w:r>
        <w:rPr>
          <w:rFonts w:ascii="Arial" w:hAnsi="Arial"/>
          <w:b w:val="0"/>
          <w:i w:val="0"/>
        </w:rPr>
        <w:t>11.2 Bez předchozího písemného souhlasu Poskytovatele není dovoleno materiály rozmnožovat, prodávat, veřejně šířit, poskytovat třetím osobám, převádět do vlastních školících materiálů ani pořizovat úplný zvukový nebo obrazový záznam programu.</w:t>
      </w:r>
    </w:p>
    <w:p>
      <w:pPr>
        <w:spacing w:after="100" w:line="259" w:lineRule="auto"/>
      </w:pPr>
      <w:r>
        <w:rPr>
          <w:rFonts w:ascii="Arial" w:hAnsi="Arial"/>
          <w:b w:val="0"/>
          <w:i w:val="0"/>
        </w:rPr>
        <w:t>11.3 Pořizování fotografií nebo krátkých záznamů pro osobní potřebu může být umožněno podle pravidel konkrétní akce a pravidel provozovatele daného prostoru.</w:t>
      </w:r>
    </w:p>
    <w:p>
      <w:pPr>
        <w:pStyle w:val="Heading1"/>
        <w:spacing w:before="200" w:after="100"/>
      </w:pPr>
      <w:r>
        <w:t>12. Důvěrnost</w:t>
      </w:r>
    </w:p>
    <w:p>
      <w:pPr>
        <w:spacing w:after="100" w:line="259" w:lineRule="auto"/>
      </w:pPr>
      <w:r>
        <w:rPr>
          <w:rFonts w:ascii="Arial" w:hAnsi="Arial"/>
          <w:b w:val="0"/>
          <w:i w:val="0"/>
        </w:rPr>
        <w:t>12.1 Poskytovatel zachovává přiměřenou důvěrnost informací, které mu Zákazník poskytne v souvislosti s přípravou a realizací neveřejného firemního programu.</w:t>
      </w:r>
    </w:p>
    <w:p>
      <w:pPr>
        <w:spacing w:after="100" w:line="259" w:lineRule="auto"/>
      </w:pPr>
      <w:r>
        <w:rPr>
          <w:rFonts w:ascii="Arial" w:hAnsi="Arial"/>
          <w:b w:val="0"/>
          <w:i w:val="0"/>
        </w:rPr>
        <w:t>12.2 Za důvěrné se nepovažují informace veřejně dostupné, informace, které Poskytovatel prokazatelně znal před jejich předáním, ani informace, jejichž zpřístupnění vyžaduje právní předpis nebo orgán veřejné moci.</w:t>
      </w:r>
    </w:p>
    <w:p>
      <w:pPr>
        <w:pStyle w:val="Heading1"/>
        <w:spacing w:before="200" w:after="100"/>
      </w:pPr>
      <w:r>
        <w:t>13. Odpovědnost</w:t>
      </w:r>
    </w:p>
    <w:p>
      <w:pPr>
        <w:spacing w:after="100" w:line="259" w:lineRule="auto"/>
      </w:pPr>
      <w:r>
        <w:rPr>
          <w:rFonts w:ascii="Arial" w:hAnsi="Arial"/>
          <w:b w:val="0"/>
          <w:i w:val="0"/>
        </w:rPr>
        <w:t>13.1 Poskytovatel odpovídá za řádné poskytnutí sjednané služby v rozsahu stanoveném právními předpisy a smlouvou.</w:t>
      </w:r>
    </w:p>
    <w:p>
      <w:pPr>
        <w:spacing w:after="100" w:line="259" w:lineRule="auto"/>
      </w:pPr>
      <w:r>
        <w:rPr>
          <w:rFonts w:ascii="Arial" w:hAnsi="Arial"/>
          <w:b w:val="0"/>
          <w:i w:val="0"/>
        </w:rPr>
        <w:t>13.2 Poskytovatel nezaručuje konkrétní obchodní, kariérní, personální, vzdělávací nebo jiný výsledek, který závisí na rozhodnutí, chování nebo okolnostech na straně Zákazníka nebo třetích osob.</w:t>
      </w:r>
    </w:p>
    <w:p>
      <w:pPr>
        <w:spacing w:after="100" w:line="259" w:lineRule="auto"/>
      </w:pPr>
      <w:r>
        <w:rPr>
          <w:rFonts w:ascii="Arial" w:hAnsi="Arial"/>
          <w:b w:val="0"/>
          <w:i w:val="0"/>
        </w:rPr>
        <w:t>13.3 Vztah mezi podnikateli: není-li újma způsobena úmyslně nebo z hrubé nedbalosti a nejde-li o újmu na přirozených právech člověka, je celková náhrada majetkové újmy vzniklé z jedné konkrétní služby omezena do výše ceny této služby bez DPH. Toto omezení se nepoužije tam, kde jej právní předpis nepřipouští.</w:t>
      </w:r>
    </w:p>
    <w:p>
      <w:pPr>
        <w:spacing w:after="100" w:line="259" w:lineRule="auto"/>
      </w:pPr>
      <w:r>
        <w:rPr>
          <w:rFonts w:ascii="Arial" w:hAnsi="Arial"/>
          <w:b w:val="0"/>
          <w:i w:val="0"/>
        </w:rPr>
        <w:t>13.4 Poskytovatel neodpovídá za osobní věci účastníků, nejsou-li výslovně převzaty do úschovy.</w:t>
      </w:r>
    </w:p>
    <w:p>
      <w:pPr>
        <w:pStyle w:val="Heading1"/>
        <w:spacing w:before="200" w:after="100"/>
      </w:pPr>
      <w:r>
        <w:t>14. Vady služby a reklamace</w:t>
      </w:r>
    </w:p>
    <w:p>
      <w:pPr>
        <w:spacing w:after="100" w:line="259" w:lineRule="auto"/>
      </w:pPr>
      <w:r>
        <w:rPr>
          <w:rFonts w:ascii="Arial" w:hAnsi="Arial"/>
          <w:b w:val="0"/>
          <w:i w:val="0"/>
        </w:rPr>
        <w:t>14.1 Má-li Zákazník za to, že služba nebyla poskytnuta v dohodnutém rozsahu nebo kvalitě, oznámí tuto skutečnost Poskytovateli bez zbytečného odkladu, ideálně ihned po jejím zjištění.</w:t>
      </w:r>
    </w:p>
    <w:p>
      <w:pPr>
        <w:spacing w:after="100" w:line="259" w:lineRule="auto"/>
      </w:pPr>
      <w:r>
        <w:rPr>
          <w:rFonts w:ascii="Arial" w:hAnsi="Arial"/>
          <w:b w:val="0"/>
          <w:i w:val="0"/>
        </w:rPr>
        <w:t>14.2 Reklamaci lze uplatnit e-mailem na boarding@fncaviation.com. Zákazník uvede identifikaci služby, popis vady a požadovaný způsob řešení.</w:t>
      </w:r>
    </w:p>
    <w:p>
      <w:pPr>
        <w:spacing w:after="100" w:line="259" w:lineRule="auto"/>
      </w:pPr>
      <w:r>
        <w:rPr>
          <w:rFonts w:ascii="Arial" w:hAnsi="Arial"/>
          <w:b w:val="0"/>
          <w:i w:val="0"/>
        </w:rPr>
        <w:t>14.3 Poskytovatel reklamaci vyřídí v souladu s právními předpisy; u spotřebitele nejpozději v zákonné lhůtě, není-li se spotřebitelem dohodnuta lhůta delší.</w:t>
      </w:r>
    </w:p>
    <w:p>
      <w:pPr>
        <w:pStyle w:val="Heading1"/>
        <w:spacing w:before="200" w:after="100"/>
      </w:pPr>
      <w:r>
        <w:t>15. Spotřebitel a smlouvy uzavřené na dálku</w:t>
      </w:r>
    </w:p>
    <w:p>
      <w:pPr>
        <w:spacing w:after="100" w:line="259" w:lineRule="auto"/>
      </w:pPr>
      <w:r>
        <w:rPr>
          <w:rFonts w:ascii="Arial" w:hAnsi="Arial"/>
          <w:b w:val="0"/>
          <w:i w:val="0"/>
        </w:rPr>
        <w:t>15.1 Je-li Zákazník spotřebitelem a smlouva byla uzavřena distančním způsobem nebo mimo obchodní prostory Poskytovatele, náleží mu práva podle příslušných ustanovení občanského zákoníku.</w:t>
      </w:r>
    </w:p>
    <w:p>
      <w:pPr>
        <w:spacing w:after="100" w:line="259" w:lineRule="auto"/>
      </w:pPr>
      <w:r>
        <w:rPr>
          <w:rFonts w:ascii="Arial" w:hAnsi="Arial"/>
          <w:b w:val="0"/>
          <w:i w:val="0"/>
        </w:rPr>
        <w:t>15.2 Pokud má spotřebitel ze zákona právo odstoupit od smlouvy bez uvedení důvodu ve lhůtě 14 dnů, může tak učinit jednoznačným prohlášením zaslaným Poskytovateli. Toto zákonné právo není dotčeno smluvními storno podmínkami.</w:t>
      </w:r>
    </w:p>
    <w:p>
      <w:pPr>
        <w:spacing w:after="100" w:line="259" w:lineRule="auto"/>
      </w:pPr>
      <w:r>
        <w:rPr>
          <w:rFonts w:ascii="Arial" w:hAnsi="Arial"/>
          <w:b w:val="0"/>
          <w:i w:val="0"/>
        </w:rPr>
        <w:t>15.3 Požádá-li spotřebitel výslovně o zahájení poskytování služby před uplynutím lhůty pro odstoupení a následně od smlouvy odstoupí před úplným poskytnutím služby, uhradí poměrnou část ceny za plnění poskytnuté do okamžiku odstoupení, stanoví-li tak zákon.</w:t>
      </w:r>
    </w:p>
    <w:p>
      <w:pPr>
        <w:spacing w:after="100" w:line="259" w:lineRule="auto"/>
      </w:pPr>
      <w:r>
        <w:rPr>
          <w:rFonts w:ascii="Arial" w:hAnsi="Arial"/>
          <w:b w:val="0"/>
          <w:i w:val="0"/>
        </w:rPr>
        <w:t>15.4 Byla-li služba v plném rozsahu poskytnuta před uplynutím lhůty pro odstoupení na základě výslovné žádosti spotřebitele a spotřebitel byl předem poučen o zániku práva na odstoupení, může jeho právo na odstoupení zaniknout v rozsahu stanoveném zákonem.</w:t>
      </w:r>
    </w:p>
    <w:p>
      <w:pPr>
        <w:spacing w:after="100" w:line="259" w:lineRule="auto"/>
      </w:pPr>
      <w:r>
        <w:rPr>
          <w:rFonts w:ascii="Arial" w:hAnsi="Arial"/>
          <w:b w:val="0"/>
          <w:i w:val="0"/>
        </w:rPr>
        <w:t>15.5 Pokud právní předpis pro konkrétní typ služby stanoví výjimku z práva na odstoupení, použije se tato zákonná výjimka.</w:t>
      </w:r>
    </w:p>
    <w:p>
      <w:pPr>
        <w:pStyle w:val="Heading1"/>
        <w:spacing w:before="200" w:after="100"/>
      </w:pPr>
      <w:r>
        <w:t>16. Mimosoudní řešení spotřebitelských sporů</w:t>
      </w:r>
    </w:p>
    <w:p>
      <w:pPr>
        <w:spacing w:after="100" w:line="259" w:lineRule="auto"/>
      </w:pPr>
      <w:r>
        <w:rPr>
          <w:rFonts w:ascii="Arial" w:hAnsi="Arial"/>
          <w:b w:val="0"/>
          <w:i w:val="0"/>
        </w:rPr>
        <w:t>16.1 Vznikne-li mezi Poskytovatelem a spotřebitelem spor ze smlouvy o poskytování služeb, který se nepodaří vyřešit dohodou, může spotřebitel podat návrh na mimosoudní řešení sporu u České obchodní inspekce.</w:t>
      </w:r>
    </w:p>
    <w:p>
      <w:pPr>
        <w:spacing w:after="100" w:line="259" w:lineRule="auto"/>
      </w:pPr>
      <w:r>
        <w:rPr>
          <w:rFonts w:ascii="Arial" w:hAnsi="Arial"/>
          <w:b w:val="0"/>
          <w:i w:val="0"/>
        </w:rPr>
        <w:t>16.2 Česká obchodní inspekce, Ústřední inspektorát – oddělení ADR, Gorazdova 1969/24, 120 00 Praha 2, e-mail: adr@coi.gov.cz, informace: coi.gov.cz/informace-o-adr/.</w:t>
      </w:r>
    </w:p>
    <w:p>
      <w:pPr>
        <w:pStyle w:val="Heading1"/>
        <w:spacing w:before="200" w:after="100"/>
      </w:pPr>
      <w:r>
        <w:t>17. Ochrana osobních údajů</w:t>
      </w:r>
    </w:p>
    <w:p>
      <w:pPr>
        <w:spacing w:after="100" w:line="259" w:lineRule="auto"/>
      </w:pPr>
      <w:r>
        <w:rPr>
          <w:rFonts w:ascii="Arial" w:hAnsi="Arial"/>
          <w:b w:val="0"/>
          <w:i w:val="0"/>
        </w:rPr>
        <w:t>17.1 Zpracování osobních údajů se řídí samostatnými Zásadami ochrany osobních údajů zveřejněnými na webových stránkách Poskytovatele.</w:t>
      </w:r>
    </w:p>
    <w:p>
      <w:pPr>
        <w:pStyle w:val="Heading1"/>
        <w:spacing w:before="200" w:after="100"/>
      </w:pPr>
      <w:r>
        <w:t>18. Závěrečná ustanovení</w:t>
      </w:r>
    </w:p>
    <w:p>
      <w:pPr>
        <w:spacing w:after="100" w:line="259" w:lineRule="auto"/>
      </w:pPr>
      <w:r>
        <w:rPr>
          <w:rFonts w:ascii="Arial" w:hAnsi="Arial"/>
          <w:b w:val="0"/>
          <w:i w:val="0"/>
        </w:rPr>
        <w:t>18.1 Právní vztahy neupravené těmito VOP se řídí právem České republiky, zejména zákonem č. 89/2012 Sb., občanským zákoníkem, v platném znění.</w:t>
      </w:r>
    </w:p>
    <w:p>
      <w:pPr>
        <w:spacing w:after="100" w:line="259" w:lineRule="auto"/>
      </w:pPr>
      <w:r>
        <w:rPr>
          <w:rFonts w:ascii="Arial" w:hAnsi="Arial"/>
          <w:b w:val="0"/>
          <w:i w:val="0"/>
        </w:rPr>
        <w:t>18.2 Ve vztazích mezi podnikateli budou případné spory řešeny věcně a místně příslušnými soudy České republiky. Je-li to právně přípustné, sjednává se místní příslušnost soudu podle sídla Poskytovatele.</w:t>
      </w:r>
    </w:p>
    <w:p>
      <w:pPr>
        <w:spacing w:after="100" w:line="259" w:lineRule="auto"/>
      </w:pPr>
      <w:r>
        <w:rPr>
          <w:rFonts w:ascii="Arial" w:hAnsi="Arial"/>
          <w:b w:val="0"/>
          <w:i w:val="0"/>
        </w:rPr>
        <w:t>18.3 Pokud se některé ustanovení těchto VOP ukáže jako neplatné nebo neúčinné, nemá tato skutečnost vliv na platnost ostatních ustanovení.</w:t>
      </w:r>
    </w:p>
    <w:p>
      <w:pPr>
        <w:spacing w:after="100" w:line="259" w:lineRule="auto"/>
      </w:pPr>
      <w:r>
        <w:rPr>
          <w:rFonts w:ascii="Arial" w:hAnsi="Arial"/>
          <w:b w:val="0"/>
          <w:i w:val="0"/>
        </w:rPr>
        <w:t>18.4 Poskytovatel je oprávněn VOP v přiměřeném rozsahu měnit. Pro konkrétní již uzavřenou smlouvu se použije znění VOP účinné v okamžiku jejího uzavření, pokud se strany výslovně nedohodnou jinak.</w:t>
      </w:r>
    </w:p>
    <w:p>
      <w:pPr>
        <w:spacing w:after="100" w:line="259" w:lineRule="auto"/>
      </w:pPr>
      <w:r>
        <w:rPr>
          <w:rFonts w:ascii="Arial" w:hAnsi="Arial"/>
          <w:b w:val="0"/>
          <w:i w:val="0"/>
        </w:rPr>
        <w:t>18.5 Tyto VOP nabývají účinnosti dne 1. října 2026.</w:t>
      </w:r>
    </w:p>
    <w:p>
      <w:r>
        <w:br w:type="page"/>
      </w:r>
    </w:p>
    <w:p>
      <w:pPr>
        <w:spacing w:after="40" w:line="259" w:lineRule="auto"/>
        <w:jc w:val="center"/>
      </w:pPr>
      <w:r>
        <w:rPr>
          <w:rFonts w:ascii="Arial" w:hAnsi="Arial"/>
          <w:b/>
          <w:i w:val="0"/>
          <w:sz w:val="26"/>
        </w:rPr>
        <w:t>PŘÍLOHA č. 1</w:t>
      </w:r>
    </w:p>
    <w:p>
      <w:pPr>
        <w:spacing w:after="200" w:line="259" w:lineRule="auto"/>
        <w:jc w:val="center"/>
      </w:pPr>
      <w:r>
        <w:rPr>
          <w:rFonts w:ascii="Arial" w:hAnsi="Arial"/>
          <w:b/>
          <w:i w:val="0"/>
          <w:sz w:val="24"/>
        </w:rPr>
        <w:t>VZOROVÉ OZNÁMENÍ SPOTŘEBITELE O ODSTOUPENÍ OD SMLOUVY</w:t>
      </w:r>
    </w:p>
    <w:p>
      <w:pPr>
        <w:spacing w:after="100" w:line="259" w:lineRule="auto"/>
      </w:pPr>
      <w:r>
        <w:rPr>
          <w:rFonts w:ascii="Arial" w:hAnsi="Arial"/>
          <w:b w:val="0"/>
          <w:i w:val="0"/>
        </w:rPr>
        <w:t>Adresát: DMC11 Group s.r.o., Kurzova 2222/16, Stodůlky, 155 00 Praha 13, e-mail: boarding@fncaviation.com</w:t>
      </w:r>
    </w:p>
    <w:p>
      <w:pPr>
        <w:spacing w:after="100" w:line="259" w:lineRule="auto"/>
      </w:pPr>
      <w:r>
        <w:rPr>
          <w:rFonts w:ascii="Arial" w:hAnsi="Arial"/>
          <w:b w:val="0"/>
          <w:i w:val="0"/>
        </w:rPr>
        <w:t>Oznamuji, že tímto odstupuji od smlouvy o poskytnutí následující služby:</w:t>
      </w:r>
    </w:p>
    <w:p>
      <w:pPr>
        <w:spacing w:after="100" w:line="259" w:lineRule="auto"/>
      </w:pPr>
      <w:r>
        <w:rPr>
          <w:rFonts w:ascii="Arial" w:hAnsi="Arial"/>
          <w:b w:val="0"/>
          <w:i w:val="0"/>
        </w:rPr>
        <w:t>............................................................................................................................</w:t>
      </w:r>
    </w:p>
    <w:p>
      <w:pPr>
        <w:spacing w:after="100" w:line="259" w:lineRule="auto"/>
      </w:pPr>
      <w:r>
        <w:rPr>
          <w:rFonts w:ascii="Arial" w:hAnsi="Arial"/>
          <w:b w:val="0"/>
          <w:i w:val="0"/>
        </w:rPr>
        <w:t>Datum objednání / uzavření smlouvy: ................................................................................</w:t>
      </w:r>
    </w:p>
    <w:p>
      <w:pPr>
        <w:spacing w:after="100" w:line="259" w:lineRule="auto"/>
      </w:pPr>
      <w:r>
        <w:rPr>
          <w:rFonts w:ascii="Arial" w:hAnsi="Arial"/>
          <w:b w:val="0"/>
          <w:i w:val="0"/>
        </w:rPr>
        <w:t>Jméno a příjmení spotřebitele: ........................................................................................</w:t>
      </w:r>
    </w:p>
    <w:p>
      <w:pPr>
        <w:spacing w:after="100" w:line="259" w:lineRule="auto"/>
      </w:pPr>
      <w:r>
        <w:rPr>
          <w:rFonts w:ascii="Arial" w:hAnsi="Arial"/>
          <w:b w:val="0"/>
          <w:i w:val="0"/>
        </w:rPr>
        <w:t>Adresa spotřebitele: ..........................................................................................................</w:t>
      </w:r>
    </w:p>
    <w:p>
      <w:pPr>
        <w:spacing w:after="100" w:line="259" w:lineRule="auto"/>
      </w:pPr>
      <w:r>
        <w:rPr>
          <w:rFonts w:ascii="Arial" w:hAnsi="Arial"/>
          <w:b w:val="0"/>
          <w:i w:val="0"/>
        </w:rPr>
        <w:t>E-mail: ................................................................................................................................</w:t>
      </w:r>
    </w:p>
    <w:p>
      <w:pPr>
        <w:spacing w:after="100" w:line="259" w:lineRule="auto"/>
      </w:pPr>
      <w:r>
        <w:rPr>
          <w:rFonts w:ascii="Arial" w:hAnsi="Arial"/>
          <w:b w:val="0"/>
          <w:i w:val="0"/>
        </w:rPr>
        <w:t>Datum: ........................................................    Podpis (pouze při listinném podání): ................................</w:t>
      </w:r>
    </w:p>
    <w:sectPr w:rsidR="00FC693F" w:rsidRPr="0006063C" w:rsidSect="00034616">
      <w:footerReference w:type="default" r:id="rId9"/>
      <w:pgSz w:w="12240" w:h="15840"/>
      <w:pgMar w:top="1134" w:right="1304" w:bottom="102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DMC11 Group s.r.o.  |  Všeobecné obchodní podmínky  |  účinné od 1. 10.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